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A9" w:rsidRDefault="007545A9" w:rsidP="00E01EB4">
      <w:pPr>
        <w:pStyle w:val="p3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Exhibit 1</w:t>
      </w:r>
    </w:p>
    <w:p w:rsidR="00E01EB4" w:rsidRDefault="00E01EB4" w:rsidP="00E01EB4">
      <w:pPr>
        <w:pStyle w:val="p3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01EB4">
        <w:rPr>
          <w:rFonts w:ascii="Times New Roman" w:hAnsi="Times New Roman"/>
          <w:sz w:val="28"/>
          <w:szCs w:val="28"/>
        </w:rPr>
        <w:t xml:space="preserve">The </w:t>
      </w:r>
      <w:r w:rsidR="00370FD8">
        <w:rPr>
          <w:rFonts w:ascii="Times New Roman" w:hAnsi="Times New Roman"/>
          <w:sz w:val="28"/>
          <w:szCs w:val="28"/>
        </w:rPr>
        <w:t>P</w:t>
      </w:r>
      <w:r w:rsidRPr="00E01EB4">
        <w:rPr>
          <w:rFonts w:ascii="Times New Roman" w:hAnsi="Times New Roman"/>
          <w:sz w:val="28"/>
          <w:szCs w:val="28"/>
        </w:rPr>
        <w:t xml:space="preserve">atterning of </w:t>
      </w:r>
      <w:r w:rsidR="00370FD8">
        <w:rPr>
          <w:rFonts w:ascii="Times New Roman" w:hAnsi="Times New Roman"/>
          <w:sz w:val="28"/>
          <w:szCs w:val="28"/>
        </w:rPr>
        <w:t>V</w:t>
      </w:r>
      <w:r w:rsidRPr="00E01EB4">
        <w:rPr>
          <w:rFonts w:ascii="Times New Roman" w:hAnsi="Times New Roman"/>
          <w:sz w:val="28"/>
          <w:szCs w:val="28"/>
        </w:rPr>
        <w:t xml:space="preserve">ocabulary, </w:t>
      </w:r>
      <w:r w:rsidR="00370FD8">
        <w:rPr>
          <w:rFonts w:ascii="Times New Roman" w:hAnsi="Times New Roman"/>
          <w:sz w:val="28"/>
          <w:szCs w:val="28"/>
        </w:rPr>
        <w:t>M</w:t>
      </w:r>
      <w:r w:rsidRPr="00E01EB4">
        <w:rPr>
          <w:rFonts w:ascii="Times New Roman" w:hAnsi="Times New Roman"/>
          <w:sz w:val="28"/>
          <w:szCs w:val="28"/>
        </w:rPr>
        <w:t xml:space="preserve">orphology, and </w:t>
      </w:r>
      <w:r w:rsidR="00370FD8">
        <w:rPr>
          <w:rFonts w:ascii="Times New Roman" w:hAnsi="Times New Roman"/>
          <w:sz w:val="28"/>
          <w:szCs w:val="28"/>
        </w:rPr>
        <w:t>S</w:t>
      </w:r>
      <w:r w:rsidRPr="00E01EB4">
        <w:rPr>
          <w:rFonts w:ascii="Times New Roman" w:hAnsi="Times New Roman"/>
          <w:sz w:val="28"/>
          <w:szCs w:val="28"/>
        </w:rPr>
        <w:t xml:space="preserve">yntax </w:t>
      </w:r>
      <w:r w:rsidR="00370FD8">
        <w:rPr>
          <w:rFonts w:ascii="Times New Roman" w:hAnsi="Times New Roman"/>
          <w:sz w:val="28"/>
          <w:szCs w:val="28"/>
        </w:rPr>
        <w:t>in</w:t>
      </w:r>
      <w:r w:rsidRPr="00E01EB4">
        <w:rPr>
          <w:rFonts w:ascii="Times New Roman" w:hAnsi="Times New Roman"/>
          <w:sz w:val="28"/>
          <w:szCs w:val="28"/>
        </w:rPr>
        <w:t xml:space="preserve"> Mark 3:24-26</w:t>
      </w:r>
    </w:p>
    <w:p w:rsidR="00E01EB4" w:rsidRPr="00E01EB4" w:rsidRDefault="00E01EB4" w:rsidP="00E01EB4">
      <w:pPr>
        <w:pStyle w:val="p3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1EB4" w:rsidRPr="00E01EB4" w:rsidRDefault="00E01EB4" w:rsidP="00E01EB4">
      <w:pPr>
        <w:pStyle w:val="p3"/>
        <w:tabs>
          <w:tab w:val="left" w:pos="3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  <w:t>a. Vocabulary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ἐ</w:t>
      </w:r>
      <w:r w:rsidRPr="00E01EB4">
        <w:rPr>
          <w:rFonts w:ascii="Gentium" w:hAnsi="Gentium" w:cs="Arial"/>
          <w:color w:val="000000"/>
          <w:sz w:val="22"/>
          <w:szCs w:val="22"/>
          <w:lang w:val="el-GR"/>
        </w:rPr>
        <w:t>ά</w:t>
      </w:r>
      <w:r w:rsidRPr="00E01EB4">
        <w:rPr>
          <w:rFonts w:ascii="Gentium" w:hAnsi="Gentium" w:cs="Arial"/>
          <w:color w:val="000000"/>
          <w:sz w:val="22"/>
          <w:szCs w:val="22"/>
        </w:rPr>
        <w:t>ν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(3:24a)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Gentium" w:hAnsi="Gentium" w:cs="Arial"/>
          <w:color w:val="000000"/>
          <w:sz w:val="22"/>
          <w:szCs w:val="22"/>
        </w:rPr>
        <w:t>ἐ</w:t>
      </w:r>
      <w:r w:rsidRPr="00E01EB4">
        <w:rPr>
          <w:rFonts w:ascii="Gentium" w:hAnsi="Gentium" w:cs="Arial"/>
          <w:color w:val="000000"/>
          <w:sz w:val="22"/>
          <w:szCs w:val="22"/>
          <w:lang w:val="el-GR"/>
        </w:rPr>
        <w:t>ά</w:t>
      </w:r>
      <w:r w:rsidRPr="00E01EB4">
        <w:rPr>
          <w:rFonts w:ascii="Gentium" w:hAnsi="Gentium" w:cs="Arial"/>
          <w:color w:val="000000"/>
          <w:sz w:val="22"/>
          <w:szCs w:val="22"/>
        </w:rPr>
        <w:t>ν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εἰ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(3:26a)</w:t>
      </w:r>
      <w:r w:rsidRPr="00E01EB4">
        <w:rPr>
          <w:rFonts w:ascii="Times New Roman" w:hAnsi="Times New Roman"/>
          <w:sz w:val="22"/>
          <w:szCs w:val="22"/>
        </w:rPr>
        <w:tab/>
        <w:t>A-A-B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βα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σιλεί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Arial"/>
          <w:b/>
          <w:color w:val="000000"/>
          <w:sz w:val="22"/>
          <w:szCs w:val="22"/>
        </w:rPr>
        <w:t>οἰκί</w:t>
      </w:r>
      <w:proofErr w:type="spellEnd"/>
      <w:r w:rsidRPr="00E01EB4">
        <w:rPr>
          <w:rFonts w:ascii="Gentium" w:hAnsi="Gentium" w:cs="Arial"/>
          <w:b/>
          <w:color w:val="000000"/>
          <w:sz w:val="22"/>
          <w:szCs w:val="22"/>
        </w:rPr>
        <w:t>α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(3:25a)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Gentium" w:hAnsi="Gentium" w:cs="Palatino Linotype"/>
          <w:b/>
          <w:i/>
          <w:color w:val="000000"/>
          <w:sz w:val="22"/>
          <w:szCs w:val="22"/>
        </w:rPr>
        <w:t>σατα</w:t>
      </w:r>
      <w:proofErr w:type="spellStart"/>
      <w:r w:rsidRPr="00E01EB4">
        <w:rPr>
          <w:rFonts w:ascii="Gentium" w:hAnsi="Gentium" w:cs="Palatino Linotype"/>
          <w:b/>
          <w:i/>
          <w:color w:val="000000"/>
          <w:sz w:val="22"/>
          <w:szCs w:val="22"/>
        </w:rPr>
        <w:t>νᾶς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(3:26a)</w:t>
      </w:r>
      <w:r w:rsidRPr="00E01EB4">
        <w:rPr>
          <w:rFonts w:ascii="Times New Roman" w:hAnsi="Times New Roman"/>
          <w:sz w:val="22"/>
          <w:szCs w:val="22"/>
        </w:rPr>
        <w:tab/>
        <w:t>A-B-C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βα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σιλεί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(3:25b)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Arial"/>
          <w:b/>
          <w:color w:val="000000"/>
          <w:sz w:val="22"/>
          <w:szCs w:val="22"/>
        </w:rPr>
        <w:t>οἰκί</w:t>
      </w:r>
      <w:proofErr w:type="spellEnd"/>
      <w:r w:rsidRPr="00E01EB4">
        <w:rPr>
          <w:rFonts w:ascii="Gentium" w:hAnsi="Gentium" w:cs="Arial"/>
          <w:b/>
          <w:color w:val="000000"/>
          <w:sz w:val="22"/>
          <w:szCs w:val="22"/>
        </w:rPr>
        <w:t>α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(3:25b)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b/>
          <w:i/>
          <w:sz w:val="22"/>
          <w:szCs w:val="22"/>
        </w:rPr>
        <w:t>(no subject</w:t>
      </w:r>
      <w:r w:rsidRPr="00E01EB4">
        <w:rPr>
          <w:rStyle w:val="FootnoteReference"/>
          <w:rFonts w:ascii="Times New Roman" w:hAnsi="Times New Roman"/>
          <w:b/>
          <w:i/>
          <w:sz w:val="22"/>
          <w:szCs w:val="22"/>
        </w:rPr>
        <w:footnoteReference w:id="1"/>
      </w:r>
      <w:r w:rsidRPr="00E01EB4">
        <w:rPr>
          <w:rFonts w:ascii="Times New Roman" w:hAnsi="Times New Roman"/>
          <w:b/>
          <w:i/>
          <w:sz w:val="22"/>
          <w:szCs w:val="22"/>
        </w:rPr>
        <w:t>)</w:t>
      </w:r>
      <w:r w:rsidRPr="00E01EB4">
        <w:rPr>
          <w:rFonts w:ascii="Times New Roman" w:hAnsi="Times New Roman"/>
          <w:sz w:val="22"/>
          <w:szCs w:val="22"/>
        </w:rPr>
        <w:t xml:space="preserve"> (3:26b)</w:t>
      </w:r>
      <w:r w:rsidRPr="00E01EB4">
        <w:rPr>
          <w:rFonts w:ascii="Times New Roman" w:hAnsi="Times New Roman"/>
          <w:sz w:val="22"/>
          <w:szCs w:val="22"/>
        </w:rPr>
        <w:tab/>
        <w:t>A-B-C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  <w:t>b. Morphology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ἐφ</w:t>
      </w:r>
      <w:proofErr w:type="spellEnd"/>
      <w:proofErr w:type="gramEnd"/>
      <w:r w:rsidRPr="00E01EB4">
        <w:rPr>
          <w:rFonts w:ascii="Gentium" w:hAnsi="Gentium" w:cs="Arial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υτὴν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 xml:space="preserve"> 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ἐφ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υτὴν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 </w:t>
      </w:r>
      <w:r w:rsidRPr="00E01EB4">
        <w:rPr>
          <w:rFonts w:ascii="Times New Roman" w:hAnsi="Times New Roman"/>
          <w:sz w:val="22"/>
          <w:szCs w:val="22"/>
        </w:rPr>
        <w:t>(3:25a)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ἐφ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b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υτὸν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(3:26a)</w:t>
      </w:r>
      <w:r w:rsidRPr="00E01EB4">
        <w:rPr>
          <w:rFonts w:ascii="Times New Roman" w:hAnsi="Times New Roman"/>
          <w:sz w:val="22"/>
          <w:szCs w:val="22"/>
        </w:rPr>
        <w:tab/>
        <w:t>A-A-B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Bodoni Ornaments ITC TT"/>
          <w:color w:val="000000"/>
          <w:sz w:val="22"/>
          <w:szCs w:val="22"/>
        </w:rPr>
        <w:t>μ</w:t>
      </w:r>
      <w:r w:rsidRPr="00E01EB4">
        <w:rPr>
          <w:rFonts w:ascii="Gentium" w:hAnsi="Gentium" w:cs="Arial"/>
          <w:color w:val="000000"/>
          <w:sz w:val="22"/>
          <w:szCs w:val="22"/>
        </w:rPr>
        <w:t>ερισθῇ</w:t>
      </w:r>
      <w:proofErr w:type="spellEnd"/>
      <w:proofErr w:type="gramEnd"/>
      <w:r w:rsidRPr="00E01EB4">
        <w:rPr>
          <w:rFonts w:ascii="Times New Roman" w:hAnsi="Times New Roman"/>
          <w:sz w:val="22"/>
          <w:szCs w:val="22"/>
        </w:rPr>
        <w:t xml:space="preserve"> (3:24a)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Bodoni Ornaments ITC TT"/>
          <w:color w:val="000000"/>
          <w:sz w:val="22"/>
          <w:szCs w:val="22"/>
        </w:rPr>
        <w:t>μ</w:t>
      </w:r>
      <w:r w:rsidRPr="00E01EB4">
        <w:rPr>
          <w:rFonts w:ascii="Gentium" w:hAnsi="Gentium" w:cs="Arial"/>
          <w:color w:val="000000"/>
          <w:sz w:val="22"/>
          <w:szCs w:val="22"/>
        </w:rPr>
        <w:t>ερισθῇ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(3:25a)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ἐ</w:t>
      </w:r>
      <w:r w:rsidRPr="00E01EB4">
        <w:rPr>
          <w:rFonts w:ascii="Gentium" w:hAnsi="Gentium" w:cs="PortagoITC TT"/>
          <w:b/>
          <w:color w:val="000000"/>
          <w:sz w:val="22"/>
          <w:szCs w:val="22"/>
        </w:rPr>
        <w:t>μ</w:t>
      </w:r>
      <w:r w:rsidRPr="00E01EB4">
        <w:rPr>
          <w:rFonts w:ascii="Gentium" w:hAnsi="Gentium" w:cs="Palatino Linotype"/>
          <w:b/>
          <w:color w:val="000000"/>
          <w:sz w:val="22"/>
          <w:szCs w:val="22"/>
        </w:rPr>
        <w:t>ερίσθη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(3:26a)</w:t>
      </w:r>
      <w:r w:rsidRPr="00E01EB4">
        <w:rPr>
          <w:rFonts w:ascii="Times New Roman" w:hAnsi="Times New Roman"/>
          <w:sz w:val="22"/>
          <w:szCs w:val="22"/>
        </w:rPr>
        <w:tab/>
        <w:t>A-A-B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αται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(3:24b)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Arial"/>
          <w:b/>
          <w:color w:val="000000"/>
          <w:sz w:val="22"/>
          <w:szCs w:val="22"/>
        </w:rPr>
        <w:t>δ</w:t>
      </w:r>
      <w:r w:rsidRPr="00E01EB4">
        <w:rPr>
          <w:rFonts w:ascii="Gentium" w:hAnsi="Gentium" w:cs="Palatino Linotype"/>
          <w:b/>
          <w:color w:val="000000"/>
          <w:sz w:val="22"/>
          <w:szCs w:val="22"/>
        </w:rPr>
        <w:t>υνήσετ</w:t>
      </w:r>
      <w:proofErr w:type="spellEnd"/>
      <w:r w:rsidRPr="00E01EB4">
        <w:rPr>
          <w:rFonts w:ascii="Gentium" w:hAnsi="Gentium" w:cs="Palatino Linotype"/>
          <w:b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(3:25b)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αται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(3:26b)</w:t>
      </w:r>
      <w:r w:rsidRPr="00E01EB4">
        <w:rPr>
          <w:rFonts w:ascii="Times New Roman" w:hAnsi="Times New Roman"/>
          <w:sz w:val="22"/>
          <w:szCs w:val="22"/>
        </w:rPr>
        <w:tab/>
        <w:t>A-B-A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b/>
          <w:color w:val="000000"/>
          <w:sz w:val="22"/>
          <w:szCs w:val="22"/>
        </w:rPr>
        <w:t>στ</w:t>
      </w:r>
      <w:proofErr w:type="spellEnd"/>
      <w:r w:rsidRPr="00E01EB4">
        <w:rPr>
          <w:rFonts w:ascii="Gentium" w:hAnsi="Gentium" w:cs="Arial"/>
          <w:b/>
          <w:color w:val="000000"/>
          <w:sz w:val="22"/>
          <w:szCs w:val="22"/>
        </w:rPr>
        <w:t>αθῆναι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(3:24b)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(3:25b)</w:t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(3:26b)</w:t>
      </w:r>
      <w:r w:rsidRPr="00E01EB4">
        <w:rPr>
          <w:rFonts w:ascii="Times New Roman" w:hAnsi="Times New Roman"/>
          <w:sz w:val="22"/>
          <w:szCs w:val="22"/>
        </w:rPr>
        <w:tab/>
        <w:t>A-B-B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  <w:t>c. Syntax</w:t>
      </w:r>
      <w:r w:rsidRPr="00E01EB4">
        <w:rPr>
          <w:rStyle w:val="FootnoteReference"/>
          <w:rFonts w:ascii="Times New Roman" w:hAnsi="Times New Roman"/>
          <w:sz w:val="22"/>
          <w:szCs w:val="22"/>
        </w:rPr>
        <w:footnoteReference w:id="2"/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βα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σιλεί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(3:24a)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οἰκί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(3:25a)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gram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ὁ</w:t>
      </w:r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color w:val="000000"/>
          <w:sz w:val="22"/>
          <w:szCs w:val="22"/>
        </w:rPr>
        <w:t>σατα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νᾶς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 </w:t>
      </w:r>
      <w:r w:rsidRPr="00E01EB4">
        <w:rPr>
          <w:rFonts w:ascii="Times New Roman" w:hAnsi="Times New Roman"/>
          <w:sz w:val="22"/>
          <w:szCs w:val="22"/>
        </w:rPr>
        <w:t>(3:26a)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  <w:t>A-A-B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ἐφ</w:t>
      </w:r>
      <w:proofErr w:type="spellEnd"/>
      <w:proofErr w:type="gramEnd"/>
      <w:r w:rsidRPr="00E01EB4">
        <w:rPr>
          <w:rFonts w:ascii="Gentium" w:hAnsi="Gentium" w:cs="Arial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υτὴν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Bodoni Ornaments ITC TT"/>
          <w:color w:val="000000"/>
          <w:sz w:val="22"/>
          <w:szCs w:val="22"/>
        </w:rPr>
        <w:t>μ</w:t>
      </w:r>
      <w:r w:rsidRPr="00E01EB4">
        <w:rPr>
          <w:rFonts w:ascii="Gentium" w:hAnsi="Gentium" w:cs="Arial"/>
          <w:color w:val="000000"/>
          <w:sz w:val="22"/>
          <w:szCs w:val="22"/>
        </w:rPr>
        <w:t>ερισθῇ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(3:24a)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ἐφ</w:t>
      </w:r>
      <w:proofErr w:type="spellEnd"/>
      <w:proofErr w:type="gramEnd"/>
      <w:r w:rsidRPr="00E01EB4">
        <w:rPr>
          <w:rFonts w:ascii="Gentium" w:hAnsi="Gentium" w:cs="Arial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υτὴν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Bodoni Ornaments ITC TT"/>
          <w:color w:val="000000"/>
          <w:sz w:val="22"/>
          <w:szCs w:val="22"/>
        </w:rPr>
        <w:t>μ</w:t>
      </w:r>
      <w:r w:rsidRPr="00E01EB4">
        <w:rPr>
          <w:rFonts w:ascii="Gentium" w:hAnsi="Gentium" w:cs="Arial"/>
          <w:color w:val="000000"/>
          <w:sz w:val="22"/>
          <w:szCs w:val="22"/>
        </w:rPr>
        <w:t>ερισθῇ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(3:25a)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Palatino Linotype"/>
          <w:color w:val="000000"/>
          <w:sz w:val="22"/>
          <w:szCs w:val="22"/>
        </w:rPr>
        <w:t>ἐφ</w:t>
      </w:r>
      <w:proofErr w:type="spellEnd"/>
      <w:proofErr w:type="gramEnd"/>
      <w:r w:rsidRPr="00E01EB4">
        <w:rPr>
          <w:rFonts w:ascii="Gentium" w:hAnsi="Gentium" w:cs="Palatino Linotype"/>
          <w:color w:val="000000"/>
          <w:sz w:val="22"/>
          <w:szCs w:val="22"/>
        </w:rPr>
        <w:t>᾿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color w:val="000000"/>
          <w:sz w:val="22"/>
          <w:szCs w:val="22"/>
        </w:rPr>
        <w:t>ἑα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υτὸν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b/>
          <w:color w:val="000000"/>
          <w:sz w:val="22"/>
          <w:szCs w:val="22"/>
        </w:rPr>
        <w:t>καὶ</w:t>
      </w:r>
      <w:r w:rsidRPr="00E01EB4">
        <w:rPr>
          <w:rFonts w:ascii="Gentium" w:hAnsi="Gentium"/>
          <w:b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ἐ</w:t>
      </w:r>
      <w:r w:rsidRPr="00E01EB4">
        <w:rPr>
          <w:rFonts w:ascii="Gentium" w:hAnsi="Gentium" w:cs="PortagoITC TT"/>
          <w:color w:val="000000"/>
          <w:sz w:val="22"/>
          <w:szCs w:val="22"/>
        </w:rPr>
        <w:t>μ</w:t>
      </w:r>
      <w:r w:rsidRPr="00E01EB4">
        <w:rPr>
          <w:rFonts w:ascii="Gentium" w:hAnsi="Gentium" w:cs="Palatino Linotype"/>
          <w:color w:val="000000"/>
          <w:sz w:val="22"/>
          <w:szCs w:val="22"/>
        </w:rPr>
        <w:t>ερίσθη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(3:26a)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  <w:t>A-A-B</w:t>
      </w:r>
      <w:r w:rsidRPr="00E01EB4">
        <w:rPr>
          <w:rFonts w:ascii="Times New Roman" w:hAnsi="Times New Roman"/>
          <w:sz w:val="22"/>
          <w:szCs w:val="22"/>
        </w:rPr>
        <w:tab/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αται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στ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αθῆναι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(3:24b)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δ</w:t>
      </w:r>
      <w:r w:rsidRPr="00E01EB4">
        <w:rPr>
          <w:rFonts w:ascii="Gentium" w:hAnsi="Gentium" w:cs="Palatino Linotype"/>
          <w:color w:val="000000"/>
          <w:sz w:val="22"/>
          <w:szCs w:val="22"/>
        </w:rPr>
        <w:t>υνήσετ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b/>
          <w:color w:val="000000"/>
          <w:sz w:val="22"/>
          <w:szCs w:val="22"/>
        </w:rPr>
        <w:t>ἡ</w:t>
      </w:r>
      <w:r w:rsidRPr="00E01EB4">
        <w:rPr>
          <w:rFonts w:ascii="Gentium" w:hAnsi="Gentium"/>
          <w:b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οἰκί</w:t>
      </w:r>
      <w:proofErr w:type="spellEnd"/>
      <w:r w:rsidRPr="00E01EB4">
        <w:rPr>
          <w:rFonts w:ascii="Gentium" w:hAnsi="Gentium" w:cs="Palatino Linotype"/>
          <w:b/>
          <w:color w:val="000000"/>
          <w:sz w:val="22"/>
          <w:szCs w:val="22"/>
        </w:rPr>
        <w:t>α</w:t>
      </w:r>
      <w:r w:rsidRPr="00E01EB4">
        <w:rPr>
          <w:rFonts w:ascii="Gentium" w:hAnsi="Gentium"/>
          <w:b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ἐκείνη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 </w:t>
      </w:r>
      <w:r w:rsidRPr="00E01EB4">
        <w:rPr>
          <w:rFonts w:ascii="Times New Roman" w:hAnsi="Times New Roman"/>
          <w:sz w:val="22"/>
          <w:szCs w:val="22"/>
        </w:rPr>
        <w:t>(3:25b)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Palatino Linotype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αται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Times New Roman" w:hAnsi="Times New Roman"/>
          <w:sz w:val="22"/>
          <w:szCs w:val="22"/>
        </w:rPr>
        <w:t>(3:26b)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  <w:t>A-B-A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αται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στ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αθῆναι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ἡ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Arial"/>
          <w:color w:val="000000"/>
          <w:sz w:val="22"/>
          <w:szCs w:val="22"/>
        </w:rPr>
        <w:t>βα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σιλεί</w:t>
      </w:r>
      <w:proofErr w:type="spellEnd"/>
      <w:r w:rsidRPr="00E01EB4">
        <w:rPr>
          <w:rFonts w:ascii="Gentium" w:hAnsi="Gentium" w:cs="Arial"/>
          <w:color w:val="000000"/>
          <w:sz w:val="22"/>
          <w:szCs w:val="22"/>
        </w:rPr>
        <w:t>α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ἐκείνη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(3:24b)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Arial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Arial"/>
          <w:color w:val="000000"/>
          <w:sz w:val="22"/>
          <w:szCs w:val="22"/>
        </w:rPr>
        <w:t>δ</w:t>
      </w:r>
      <w:r w:rsidRPr="00E01EB4">
        <w:rPr>
          <w:rFonts w:ascii="Gentium" w:hAnsi="Gentium" w:cs="Palatino Linotype"/>
          <w:color w:val="000000"/>
          <w:sz w:val="22"/>
          <w:szCs w:val="22"/>
        </w:rPr>
        <w:t>υνήσετ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r w:rsidRPr="00E01EB4">
        <w:rPr>
          <w:rFonts w:ascii="Gentium" w:hAnsi="Gentium" w:cs="Palatino Linotype"/>
          <w:color w:val="000000"/>
          <w:sz w:val="22"/>
          <w:szCs w:val="22"/>
        </w:rPr>
        <w:t>ἡ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οἰκί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ἐκείνη</w:t>
      </w:r>
      <w:proofErr w:type="spell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Times New Roman" w:hAnsi="Times New Roman"/>
          <w:sz w:val="22"/>
          <w:szCs w:val="22"/>
        </w:rPr>
        <w:t xml:space="preserve"> (3:25b)</w:t>
      </w:r>
    </w:p>
    <w:p w:rsid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E01EB4">
        <w:rPr>
          <w:rFonts w:ascii="Gentium" w:hAnsi="Gentium" w:cs="Palatino Linotype"/>
          <w:color w:val="000000"/>
          <w:sz w:val="22"/>
          <w:szCs w:val="22"/>
        </w:rPr>
        <w:t>οὐ</w:t>
      </w:r>
      <w:proofErr w:type="spellEnd"/>
      <w:proofErr w:type="gramEnd"/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δύν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αται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color w:val="000000"/>
          <w:sz w:val="22"/>
          <w:szCs w:val="22"/>
        </w:rPr>
        <w:t>στῆν</w:t>
      </w:r>
      <w:proofErr w:type="spellEnd"/>
      <w:r w:rsidRPr="00E01EB4">
        <w:rPr>
          <w:rFonts w:ascii="Gentium" w:hAnsi="Gentium" w:cs="Palatino Linotype"/>
          <w:color w:val="000000"/>
          <w:sz w:val="22"/>
          <w:szCs w:val="22"/>
        </w:rPr>
        <w:t>αι</w:t>
      </w:r>
      <w:r w:rsidRPr="00E01EB4">
        <w:rPr>
          <w:rFonts w:ascii="Gentium" w:hAnsi="Gentium"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ἀλλὰ</w:t>
      </w:r>
      <w:proofErr w:type="spellEnd"/>
      <w:r w:rsidRPr="00E01EB4">
        <w:rPr>
          <w:rFonts w:ascii="Gentium" w:hAnsi="Gentium"/>
          <w:b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τέλος</w:t>
      </w:r>
      <w:proofErr w:type="spellEnd"/>
      <w:r w:rsidRPr="00E01EB4">
        <w:rPr>
          <w:rFonts w:ascii="Gentium" w:hAnsi="Gentium"/>
          <w:b/>
          <w:color w:val="000000"/>
          <w:sz w:val="22"/>
          <w:szCs w:val="22"/>
        </w:rPr>
        <w:t xml:space="preserve"> </w:t>
      </w:r>
      <w:proofErr w:type="spellStart"/>
      <w:r w:rsidRPr="00E01EB4">
        <w:rPr>
          <w:rFonts w:ascii="Gentium" w:hAnsi="Gentium" w:cs="Palatino Linotype"/>
          <w:b/>
          <w:color w:val="000000"/>
          <w:sz w:val="22"/>
          <w:szCs w:val="22"/>
        </w:rPr>
        <w:t>ἔχει</w:t>
      </w:r>
      <w:proofErr w:type="spellEnd"/>
      <w:r w:rsidRPr="00E01EB4">
        <w:rPr>
          <w:rFonts w:ascii="Times New Roman" w:hAnsi="Times New Roman"/>
          <w:sz w:val="22"/>
          <w:szCs w:val="22"/>
        </w:rPr>
        <w:t xml:space="preserve"> (3:26b)</w:t>
      </w:r>
      <w:r w:rsidRPr="00E01EB4">
        <w:rPr>
          <w:rFonts w:ascii="Times New Roman" w:hAnsi="Times New Roman"/>
          <w:sz w:val="22"/>
          <w:szCs w:val="22"/>
        </w:rPr>
        <w:tab/>
      </w:r>
      <w:r w:rsidRPr="00E01EB4">
        <w:rPr>
          <w:rFonts w:ascii="Times New Roman" w:hAnsi="Times New Roman"/>
          <w:sz w:val="22"/>
          <w:szCs w:val="22"/>
        </w:rPr>
        <w:tab/>
        <w:t>A-A-B</w:t>
      </w:r>
    </w:p>
    <w:p w:rsidR="00E01EB4" w:rsidRPr="00E01EB4" w:rsidRDefault="00E01EB4" w:rsidP="00E01EB4">
      <w:pPr>
        <w:pStyle w:val="p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left" w:pos="360"/>
          <w:tab w:val="left" w:pos="3060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D37F3A" w:rsidRPr="00E01EB4" w:rsidRDefault="00E01EB4" w:rsidP="00E01EB4">
      <w:pPr>
        <w:spacing w:line="360" w:lineRule="auto"/>
        <w:rPr>
          <w:sz w:val="22"/>
          <w:szCs w:val="22"/>
        </w:rPr>
      </w:pPr>
      <w:r w:rsidRPr="00E01EB4">
        <w:rPr>
          <w:rFonts w:ascii="Times New Roman" w:hAnsi="Times New Roman"/>
          <w:sz w:val="22"/>
          <w:szCs w:val="22"/>
        </w:rPr>
        <w:t xml:space="preserve">Note that in no case is identical vocabulary, morphology, or syntax employed!  </w:t>
      </w:r>
    </w:p>
    <w:sectPr w:rsidR="00D37F3A" w:rsidRPr="00E01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41" w:rsidRDefault="00DC6141" w:rsidP="00E01EB4">
      <w:r>
        <w:separator/>
      </w:r>
    </w:p>
  </w:endnote>
  <w:endnote w:type="continuationSeparator" w:id="0">
    <w:p w:rsidR="00DC6141" w:rsidRDefault="00DC6141" w:rsidP="00E0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T St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panose1 w:val="02000503060000020004"/>
    <w:charset w:val="00"/>
    <w:family w:val="auto"/>
    <w:pitch w:val="variable"/>
    <w:sig w:usb0="00000001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Ornaments ITC TT">
    <w:charset w:val="00"/>
    <w:family w:val="auto"/>
    <w:pitch w:val="variable"/>
    <w:sig w:usb0="00000003" w:usb1="00000000" w:usb2="00000000" w:usb3="00000000" w:csb0="00000001" w:csb1="00000000"/>
  </w:font>
  <w:font w:name="PortagoITC 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41" w:rsidRDefault="00DC6141" w:rsidP="00E01EB4">
      <w:r>
        <w:separator/>
      </w:r>
    </w:p>
  </w:footnote>
  <w:footnote w:type="continuationSeparator" w:id="0">
    <w:p w:rsidR="00DC6141" w:rsidRDefault="00DC6141" w:rsidP="00E01EB4">
      <w:r>
        <w:continuationSeparator/>
      </w:r>
    </w:p>
  </w:footnote>
  <w:footnote w:id="1">
    <w:p w:rsidR="00E01EB4" w:rsidRPr="007F7A84" w:rsidRDefault="00E01EB4" w:rsidP="00E01EB4">
      <w:pPr>
        <w:pStyle w:val="FootnoteText"/>
        <w:rPr>
          <w:rFonts w:ascii="Times New Roman" w:hAnsi="Times New Roman"/>
        </w:rPr>
      </w:pPr>
      <w:r w:rsidRPr="007F7A84">
        <w:rPr>
          <w:rStyle w:val="FootnoteReference"/>
          <w:rFonts w:ascii="Times New Roman" w:hAnsi="Times New Roman"/>
        </w:rPr>
        <w:footnoteRef/>
      </w:r>
      <w:r w:rsidRPr="007F7A84">
        <w:rPr>
          <w:rFonts w:ascii="Times New Roman" w:hAnsi="Times New Roman"/>
        </w:rPr>
        <w:t xml:space="preserve"> More technically, no subject is explicitly expressed in this clause; it is implicit in the verb form.</w:t>
      </w:r>
    </w:p>
  </w:footnote>
  <w:footnote w:id="2">
    <w:p w:rsidR="00E01EB4" w:rsidRPr="00A76B70" w:rsidRDefault="00E01EB4" w:rsidP="00E01EB4">
      <w:pPr>
        <w:pStyle w:val="FootnoteText"/>
        <w:rPr>
          <w:rFonts w:ascii="Times New Roman" w:hAnsi="Times New Roman"/>
        </w:rPr>
      </w:pPr>
      <w:r w:rsidRPr="00A76B70">
        <w:rPr>
          <w:rStyle w:val="FootnoteReference"/>
          <w:rFonts w:ascii="Times New Roman" w:hAnsi="Times New Roman"/>
        </w:rPr>
        <w:footnoteRef/>
      </w:r>
      <w:r w:rsidRPr="00A76B70">
        <w:rPr>
          <w:rFonts w:ascii="Times New Roman" w:hAnsi="Times New Roman"/>
        </w:rPr>
        <w:t xml:space="preserve"> Note that in this section, differences in morphology are not in focus.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B4"/>
    <w:rsid w:val="00106563"/>
    <w:rsid w:val="001F6756"/>
    <w:rsid w:val="00370FD8"/>
    <w:rsid w:val="007545A9"/>
    <w:rsid w:val="00AA0BBA"/>
    <w:rsid w:val="00D37F3A"/>
    <w:rsid w:val="00DC6141"/>
    <w:rsid w:val="00E01EB4"/>
    <w:rsid w:val="00F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71CD-C4E2-4C77-96EF-F33F1FC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B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3Char">
    <w:name w:val="p3 Char"/>
    <w:link w:val="p3"/>
    <w:locked/>
    <w:rsid w:val="00E01EB4"/>
    <w:rPr>
      <w:rFonts w:ascii="Times LT Std" w:hAnsi="Times LT Std"/>
      <w:sz w:val="24"/>
      <w:szCs w:val="24"/>
    </w:rPr>
  </w:style>
  <w:style w:type="paragraph" w:customStyle="1" w:styleId="p3">
    <w:name w:val="p3"/>
    <w:link w:val="p3Char"/>
    <w:rsid w:val="00E01EB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480" w:lineRule="atLeast"/>
      <w:ind w:firstLine="720"/>
    </w:pPr>
    <w:rPr>
      <w:rFonts w:ascii="Times LT Std" w:hAnsi="Times LT Std"/>
      <w:sz w:val="24"/>
      <w:szCs w:val="24"/>
    </w:rPr>
  </w:style>
  <w:style w:type="paragraph" w:styleId="FootnoteText">
    <w:name w:val="footnote text"/>
    <w:basedOn w:val="Normal"/>
    <w:link w:val="FootnoteTextChar"/>
    <w:rsid w:val="00E01E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1EB4"/>
    <w:rPr>
      <w:rFonts w:ascii="Cambria" w:hAnsi="Cambria"/>
    </w:rPr>
  </w:style>
  <w:style w:type="character" w:styleId="FootnoteReference">
    <w:name w:val="footnote reference"/>
    <w:rsid w:val="00E01EB4"/>
    <w:rPr>
      <w:vertAlign w:val="superscript"/>
    </w:rPr>
  </w:style>
  <w:style w:type="paragraph" w:styleId="BalloonText">
    <w:name w:val="Balloon Text"/>
    <w:basedOn w:val="Normal"/>
    <w:link w:val="BalloonTextChar"/>
    <w:rsid w:val="0075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Voelz, James</dc:creator>
  <cp:keywords/>
  <dc:description/>
  <cp:lastModifiedBy>Voelz, James</cp:lastModifiedBy>
  <cp:revision>2</cp:revision>
  <cp:lastPrinted>2015-09-05T19:54:00Z</cp:lastPrinted>
  <dcterms:created xsi:type="dcterms:W3CDTF">2016-01-19T16:41:00Z</dcterms:created>
  <dcterms:modified xsi:type="dcterms:W3CDTF">2016-01-19T16:41:00Z</dcterms:modified>
</cp:coreProperties>
</file>